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B311" w14:textId="1DA17B9C" w:rsidR="00C16E3D" w:rsidRPr="00E17D02" w:rsidRDefault="00C16E3D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Anlage E: Löschkonzept nach DSGVO </w:t>
      </w:r>
    </w:p>
    <w:p w14:paraId="4FFF435B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1. Einleitung und Zielsetzung</w:t>
      </w:r>
    </w:p>
    <w:p w14:paraId="0EC7CC09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Dieses Löschkonzept dient der Einhaltung des Grundsatzes der Speicherbegrenzung (Art. 5 Abs. 1 lit. e DSGVO). Es stellt sicher, dass personenbezogene Daten des Vereins Capoeira Flensburg e. V. gelöscht oder anonymisiert werden, sobald der Verarbeitungszweck entfällt und keine gesetzlichen Aufbewahrungspflichten mehr bestehen.</w:t>
      </w:r>
    </w:p>
    <w:p w14:paraId="21EB1DCF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2. Rechtsgrundlagen</w:t>
      </w:r>
    </w:p>
    <w:p w14:paraId="30F9FF5E" w14:textId="77777777" w:rsidR="0076261C" w:rsidRPr="0076261C" w:rsidRDefault="0076261C" w:rsidP="0076261C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Die Grundlage für die Festlegung von Speicher- und Löschfristen bilden insbesondere:</w:t>
      </w:r>
    </w:p>
    <w:p w14:paraId="01C692D7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Art. 5 Abs. 1 lit. e DSGVO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Grundsatz der Speicherbegrenzung.</w:t>
      </w:r>
    </w:p>
    <w:p w14:paraId="39FC05D7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Art. 6 Abs. 1 lit. a DSGVO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Rechtsgrundlage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Einwilligung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(z. B. für gezielte Fotos).</w:t>
      </w:r>
    </w:p>
    <w:p w14:paraId="1478EABE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Art. 6 Abs. 1 lit. f DSGVO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Rechtsgrundlage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Berechtigtes Interesse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(z. B. für Übersichtsaufnahmen, Vereinsarchiv).</w:t>
      </w:r>
    </w:p>
    <w:p w14:paraId="7DD23923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Art. 17 DSGVO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Recht auf Löschung („Recht auf Vergessenwerden“).</w:t>
      </w:r>
    </w:p>
    <w:p w14:paraId="04E6E3D0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Art. 89 DSGVO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Ausnahmen für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im öffentlichen Interesse liegende Archivzwecke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(als Grundlage für die Speicherung historischer Bilder).</w:t>
      </w:r>
    </w:p>
    <w:p w14:paraId="28BE4BDA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§ 147 Abgabenordnung (AO)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Aufbewahrung steuerlich relevanter Unterlagen (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10 Jahre</w:t>
      </w:r>
      <w:r>
        <w:rPr>
          <w:rFonts w:asciiTheme="majorHAnsi" w:hAnsiTheme="majorHAnsi" w:cstheme="majorHAnsi"/>
          <w:sz w:val="24"/>
          <w:szCs w:val="24"/>
          <w:lang w:val="de-DE"/>
        </w:rPr>
        <w:t>).</w:t>
      </w:r>
    </w:p>
    <w:p w14:paraId="2770A0E5" w14:textId="77777777" w:rsidR="0076261C" w:rsidRPr="0076261C" w:rsidRDefault="0076261C" w:rsidP="0076261C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§ 257 Handelsgesetzbuch (HGB)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– Aufbewahrungspflichten für Geschäftsunterlagen (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6 Jahre</w:t>
      </w:r>
      <w:r>
        <w:rPr>
          <w:rFonts w:asciiTheme="majorHAnsi" w:hAnsiTheme="majorHAnsi" w:cstheme="majorHAnsi"/>
          <w:sz w:val="24"/>
          <w:szCs w:val="24"/>
          <w:lang w:val="de-DE"/>
        </w:rPr>
        <w:t>).</w:t>
      </w:r>
    </w:p>
    <w:p w14:paraId="5B5CD74D" w14:textId="77777777" w:rsidR="00C16E3D" w:rsidRDefault="00C16E3D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3. Verantwortlichkeiten</w:t>
      </w:r>
    </w:p>
    <w:p w14:paraId="1795F157" w14:textId="77777777" w:rsidR="00E17D02" w:rsidRPr="00E17D02" w:rsidRDefault="00E17D02" w:rsidP="00E17D02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Für die Umsetzung und Einhaltung dieses Löschkonzepts ist der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Vorstand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des Vereins verantwortlich. Er kann die operative Durchführung an eine zuständige Person (z. B. Datenschutz-Ansprechpartner) delegieren.</w:t>
      </w:r>
    </w:p>
    <w:p w14:paraId="6E58674D" w14:textId="77777777" w:rsidR="00E17D02" w:rsidRPr="00E17D02" w:rsidRDefault="00E17D02" w:rsidP="00E17D02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Kassenwart: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Explizit verantwortlich für die Einhaltung der Fristen im Bereich Finanzdaten/Buchhaltung.</w:t>
      </w:r>
    </w:p>
    <w:p w14:paraId="507FE6DD" w14:textId="377836AC" w:rsidR="00E17D02" w:rsidRDefault="00E17D02" w:rsidP="00E17D02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lastRenderedPageBreak/>
        <w:t>Datenschutz-Ansprechpartner: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Koordiniert sämtliche datenschutzrelevanten Aufgaben, überwacht die Einhaltung von Löschfristen (Anlage E), Technischen und Organisatorischen Maßnahmen (Anlage D) und Betroffenenanfragen (Anlage </w:t>
      </w:r>
      <w:r w:rsidR="00EA0B62">
        <w:rPr>
          <w:rFonts w:asciiTheme="majorHAnsi" w:hAnsiTheme="majorHAnsi" w:cstheme="majorHAnsi"/>
          <w:sz w:val="24"/>
          <w:szCs w:val="24"/>
          <w:lang w:val="de-DE"/>
        </w:rPr>
        <w:t>G</w:t>
      </w:r>
      <w:r>
        <w:rPr>
          <w:rFonts w:asciiTheme="majorHAnsi" w:hAnsiTheme="majorHAnsi" w:cstheme="majorHAnsi"/>
          <w:sz w:val="24"/>
          <w:szCs w:val="24"/>
          <w:lang w:val="de-DE"/>
        </w:rPr>
        <w:t>), unterstützt Vorstandsmitglieder bei Datenschutzfragen und ist zentrale Ansprechperson für die Aufsichtsbehörde.</w:t>
      </w:r>
    </w:p>
    <w:p w14:paraId="2DE7C4F9" w14:textId="788582DD" w:rsidR="00E17D02" w:rsidRPr="00E17D02" w:rsidRDefault="00E17D02" w:rsidP="00E17D02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Kassenprüfende: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Umgang mit Daten gemäß Belehrung (Anlage I – Datenschutzverpflichtung für Kassenprüfende)</w:t>
      </w:r>
    </w:p>
    <w:p w14:paraId="5BE2DFCA" w14:textId="77777777" w:rsidR="00E17D02" w:rsidRPr="00E17D02" w:rsidRDefault="00E17D02" w:rsidP="00C16E3D">
      <w:pPr>
        <w:rPr>
          <w:rFonts w:asciiTheme="majorHAnsi" w:hAnsiTheme="majorHAnsi" w:cstheme="majorHAnsi"/>
          <w:sz w:val="24"/>
          <w:szCs w:val="24"/>
          <w:lang w:val="de-D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6524"/>
      </w:tblGrid>
      <w:tr w:rsidR="00C16E3D" w:rsidRPr="00E17D02" w14:paraId="5CE38B47" w14:textId="77777777" w:rsidTr="00AF5E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C7E1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13D0487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Zuständigkeitsbereich</w:t>
            </w:r>
          </w:p>
        </w:tc>
      </w:tr>
      <w:tr w:rsidR="00C16E3D" w:rsidRPr="00E17D02" w14:paraId="3D5F7E81" w14:textId="77777777" w:rsidTr="00AF5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313A3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Vorstand</w:t>
            </w:r>
          </w:p>
        </w:tc>
        <w:tc>
          <w:tcPr>
            <w:tcW w:w="0" w:type="auto"/>
            <w:vAlign w:val="center"/>
            <w:hideMark/>
          </w:tcPr>
          <w:p w14:paraId="13F51CD3" w14:textId="34873755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Gesamteinhaltung und Genehmigung des Konzepts</w:t>
            </w:r>
          </w:p>
        </w:tc>
      </w:tr>
      <w:tr w:rsidR="00C16E3D" w:rsidRPr="00E17D02" w14:paraId="35450B42" w14:textId="77777777" w:rsidTr="00AF5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4E904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Kassenwart</w:t>
            </w:r>
          </w:p>
        </w:tc>
        <w:tc>
          <w:tcPr>
            <w:tcW w:w="0" w:type="auto"/>
            <w:vAlign w:val="center"/>
            <w:hideMark/>
          </w:tcPr>
          <w:p w14:paraId="6CEC033C" w14:textId="42627A44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Explizit verantwortlich für die Löschmaßnahmen im Bereich Finanzdaten/Buchhaltung</w:t>
            </w:r>
          </w:p>
        </w:tc>
      </w:tr>
      <w:tr w:rsidR="00C16E3D" w:rsidRPr="00E17D02" w14:paraId="69745421" w14:textId="77777777" w:rsidTr="00AF5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C38F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Datenschutz-Ansprechpartner</w:t>
            </w:r>
          </w:p>
        </w:tc>
        <w:tc>
          <w:tcPr>
            <w:tcW w:w="0" w:type="auto"/>
            <w:vAlign w:val="center"/>
            <w:hideMark/>
          </w:tcPr>
          <w:p w14:paraId="54D423F5" w14:textId="56F959FE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Verantwortlich für die operative Umsetzung der Löschung der Mitglieder- und Kommunikationsdaten sowie für die technische Löschung und die Backups</w:t>
            </w:r>
          </w:p>
        </w:tc>
      </w:tr>
      <w:tr w:rsidR="00E17D02" w:rsidRPr="00E17D02" w14:paraId="17441747" w14:textId="77777777" w:rsidTr="00AF5E08">
        <w:trPr>
          <w:tblCellSpacing w:w="15" w:type="dxa"/>
        </w:trPr>
        <w:tc>
          <w:tcPr>
            <w:tcW w:w="0" w:type="auto"/>
            <w:vAlign w:val="center"/>
          </w:tcPr>
          <w:p w14:paraId="149BD5B8" w14:textId="32BB3068" w:rsidR="00E17D02" w:rsidRPr="00E17D02" w:rsidRDefault="00E17D02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Kassenprüfende</w:t>
            </w:r>
          </w:p>
        </w:tc>
        <w:tc>
          <w:tcPr>
            <w:tcW w:w="0" w:type="auto"/>
            <w:vAlign w:val="center"/>
          </w:tcPr>
          <w:p w14:paraId="39629D94" w14:textId="014A4CC6" w:rsidR="00E17D02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Nach Anlage I – Datenschutzverpflichtung für Kassenprüfende</w:t>
            </w:r>
          </w:p>
        </w:tc>
      </w:tr>
      <w:tr w:rsidR="00952709" w:rsidRPr="00E17D02" w14:paraId="6F588FF0" w14:textId="77777777" w:rsidTr="00AF5E08">
        <w:trPr>
          <w:tblCellSpacing w:w="15" w:type="dxa"/>
        </w:trPr>
        <w:tc>
          <w:tcPr>
            <w:tcW w:w="0" w:type="auto"/>
            <w:vAlign w:val="center"/>
          </w:tcPr>
          <w:p w14:paraId="678F83E2" w14:textId="1BDCC301" w:rsidR="00952709" w:rsidRDefault="00952709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Trainer:innen</w:t>
            </w:r>
          </w:p>
        </w:tc>
        <w:tc>
          <w:tcPr>
            <w:tcW w:w="0" w:type="auto"/>
            <w:vAlign w:val="center"/>
          </w:tcPr>
          <w:p w14:paraId="07C36DD1" w14:textId="36FE5691" w:rsidR="00952709" w:rsidRDefault="00952709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Verantwortlich für die unverzügliche Löschung der Besonderen Kategorien (Gesundheitsdaten) nach Wegfall des Zwecks (Papier schreddern oder verschlüsseltes Speichermedium löschen)</w:t>
            </w:r>
          </w:p>
        </w:tc>
      </w:tr>
    </w:tbl>
    <w:p w14:paraId="349C08B4" w14:textId="77777777" w:rsidR="00AF5E08" w:rsidRPr="00E17D02" w:rsidRDefault="00AF5E08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</w:p>
    <w:p w14:paraId="589A6B81" w14:textId="77777777" w:rsidR="00AF5E08" w:rsidRPr="00E17D02" w:rsidRDefault="00AF5E08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</w:p>
    <w:p w14:paraId="16926A72" w14:textId="6106AFFD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4. Übersicht der Löschfristen</w:t>
      </w:r>
    </w:p>
    <w:p w14:paraId="0A0A65DE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Die Fristen berücksichtigen die rechtlichen Aufbewahrungspflichten und die im Verzeichnis von Verarbeitungstätigkeiten (VVT, Anlage A) dokumentierten Zwecke.</w:t>
      </w:r>
    </w:p>
    <w:tbl>
      <w:tblPr>
        <w:tblW w:w="94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2279"/>
        <w:gridCol w:w="2141"/>
        <w:gridCol w:w="2485"/>
      </w:tblGrid>
      <w:tr w:rsidR="00C16E3D" w:rsidRPr="00E17D02" w14:paraId="52A8D067" w14:textId="77777777" w:rsidTr="007626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2AFF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lastRenderedPageBreak/>
              <w:t>Datenkategorie / Datentyp</w:t>
            </w:r>
          </w:p>
        </w:tc>
        <w:tc>
          <w:tcPr>
            <w:tcW w:w="0" w:type="auto"/>
            <w:vAlign w:val="center"/>
            <w:hideMark/>
          </w:tcPr>
          <w:p w14:paraId="38549687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Zweck der Verarbeitung</w:t>
            </w:r>
          </w:p>
        </w:tc>
        <w:tc>
          <w:tcPr>
            <w:tcW w:w="0" w:type="auto"/>
            <w:vAlign w:val="center"/>
            <w:hideMark/>
          </w:tcPr>
          <w:p w14:paraId="201F9B0D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Gesetzl. / vertragl. Aufbewahrungsfrist</w:t>
            </w:r>
          </w:p>
        </w:tc>
        <w:tc>
          <w:tcPr>
            <w:tcW w:w="2440" w:type="dxa"/>
            <w:vAlign w:val="center"/>
            <w:hideMark/>
          </w:tcPr>
          <w:p w14:paraId="778C0BAC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Löschvorgang</w:t>
            </w:r>
          </w:p>
        </w:tc>
      </w:tr>
      <w:tr w:rsidR="00C16E3D" w:rsidRPr="00E17D02" w14:paraId="60C9474D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D044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Mitgliederstammdaten (aktive Systeme)</w:t>
            </w:r>
          </w:p>
        </w:tc>
        <w:tc>
          <w:tcPr>
            <w:tcW w:w="0" w:type="auto"/>
            <w:vAlign w:val="center"/>
            <w:hideMark/>
          </w:tcPr>
          <w:p w14:paraId="5DF59A2A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Verwaltung der Mitgliedschaft, Kommunikation</w:t>
            </w:r>
          </w:p>
        </w:tc>
        <w:tc>
          <w:tcPr>
            <w:tcW w:w="0" w:type="auto"/>
            <w:vAlign w:val="center"/>
            <w:hideMark/>
          </w:tcPr>
          <w:p w14:paraId="322838D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6 Monate nach Austritt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des Mitglieds</w:t>
            </w:r>
          </w:p>
        </w:tc>
        <w:tc>
          <w:tcPr>
            <w:tcW w:w="2440" w:type="dxa"/>
            <w:vAlign w:val="center"/>
            <w:hideMark/>
          </w:tcPr>
          <w:p w14:paraId="4C18718F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Löschung aus der Mitgliederverwaltung und allen aktiven Systemen.</w:t>
            </w:r>
          </w:p>
        </w:tc>
      </w:tr>
      <w:tr w:rsidR="00C16E3D" w:rsidRPr="00E17D02" w14:paraId="5568C0DA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13256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Bankdaten, Buchungsbelege, Rechnungen</w:t>
            </w:r>
          </w:p>
        </w:tc>
        <w:tc>
          <w:tcPr>
            <w:tcW w:w="0" w:type="auto"/>
            <w:vAlign w:val="center"/>
            <w:hideMark/>
          </w:tcPr>
          <w:p w14:paraId="22B4CD28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Finanzverwaltung, Erfüllung steuerrechtlicher Pflichten</w:t>
            </w:r>
          </w:p>
        </w:tc>
        <w:tc>
          <w:tcPr>
            <w:tcW w:w="0" w:type="auto"/>
            <w:vAlign w:val="center"/>
            <w:hideMark/>
          </w:tcPr>
          <w:p w14:paraId="0D2F4F0D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10 Jahre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(§ 147 AO)</w:t>
            </w:r>
          </w:p>
        </w:tc>
        <w:tc>
          <w:tcPr>
            <w:tcW w:w="2440" w:type="dxa"/>
            <w:vAlign w:val="center"/>
            <w:hideMark/>
          </w:tcPr>
          <w:p w14:paraId="6AF85F3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Endgültige Löschung nach Ablauf der gesetzlichen Aufbewahrungsfrist.</w:t>
            </w:r>
          </w:p>
        </w:tc>
      </w:tr>
      <w:tr w:rsidR="00C16E3D" w:rsidRPr="00E17D02" w14:paraId="65C9E952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B5452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Handels- und Verwaltungsdokumente</w:t>
            </w:r>
          </w:p>
        </w:tc>
        <w:tc>
          <w:tcPr>
            <w:tcW w:w="0" w:type="auto"/>
            <w:vAlign w:val="center"/>
            <w:hideMark/>
          </w:tcPr>
          <w:p w14:paraId="639EA18F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Vereinsorganisation (z. B. Honorardaten, interne Korrespondenz)</w:t>
            </w:r>
          </w:p>
        </w:tc>
        <w:tc>
          <w:tcPr>
            <w:tcW w:w="0" w:type="auto"/>
            <w:vAlign w:val="center"/>
            <w:hideMark/>
          </w:tcPr>
          <w:p w14:paraId="57A8C7A2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6 Jahre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(§ 257 HGB)</w:t>
            </w:r>
          </w:p>
        </w:tc>
        <w:tc>
          <w:tcPr>
            <w:tcW w:w="2440" w:type="dxa"/>
            <w:vAlign w:val="center"/>
            <w:hideMark/>
          </w:tcPr>
          <w:p w14:paraId="00FF8625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Endgültige Löschung nach Ablauf der gesetzlichen Aufbewahrungsfrist.</w:t>
            </w:r>
          </w:p>
        </w:tc>
      </w:tr>
      <w:tr w:rsidR="00C16E3D" w:rsidRPr="00E17D02" w14:paraId="7B725914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8CB4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Besondere Kategorien (Gesundheitsdaten)</w:t>
            </w:r>
          </w:p>
        </w:tc>
        <w:tc>
          <w:tcPr>
            <w:tcW w:w="0" w:type="auto"/>
            <w:vAlign w:val="center"/>
            <w:hideMark/>
          </w:tcPr>
          <w:p w14:paraId="026A411A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Sicherstellung der Trainingssicherheit, Notfallkommunikation</w:t>
            </w:r>
          </w:p>
        </w:tc>
        <w:tc>
          <w:tcPr>
            <w:tcW w:w="0" w:type="auto"/>
            <w:vAlign w:val="center"/>
            <w:hideMark/>
          </w:tcPr>
          <w:p w14:paraId="415036AC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Unverzüglich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nach Wegfall der Rechtsgrundlage/des Zwecks</w:t>
            </w:r>
          </w:p>
        </w:tc>
        <w:tc>
          <w:tcPr>
            <w:tcW w:w="2440" w:type="dxa"/>
            <w:vAlign w:val="center"/>
            <w:hideMark/>
          </w:tcPr>
          <w:p w14:paraId="3D4E2F1E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Löschung durch die verantwortlichen Trainer:innen/Personen.</w:t>
            </w:r>
          </w:p>
        </w:tc>
      </w:tr>
      <w:tr w:rsidR="00C16E3D" w:rsidRPr="00E17D02" w14:paraId="6AFA255D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04388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Kontaktanfragen (E-Mail/Formular)</w:t>
            </w:r>
          </w:p>
        </w:tc>
        <w:tc>
          <w:tcPr>
            <w:tcW w:w="0" w:type="auto"/>
            <w:vAlign w:val="center"/>
            <w:hideMark/>
          </w:tcPr>
          <w:p w14:paraId="0CBBAE92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Beantwortung von Anfragen (z. B. Probetraining)</w:t>
            </w:r>
          </w:p>
        </w:tc>
        <w:tc>
          <w:tcPr>
            <w:tcW w:w="0" w:type="auto"/>
            <w:vAlign w:val="center"/>
            <w:hideMark/>
          </w:tcPr>
          <w:p w14:paraId="1724DBC0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6–12 Monate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(spätestens)</w:t>
            </w:r>
          </w:p>
        </w:tc>
        <w:tc>
          <w:tcPr>
            <w:tcW w:w="2440" w:type="dxa"/>
            <w:vAlign w:val="center"/>
            <w:hideMark/>
          </w:tcPr>
          <w:p w14:paraId="7C0F1DE0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Löschung nach Klärung/nach spätestens 12 Monaten, wenn keine weitere Kommunikation erfolgt.</w:t>
            </w:r>
          </w:p>
        </w:tc>
      </w:tr>
      <w:tr w:rsidR="00C16E3D" w:rsidRPr="00E17D02" w14:paraId="7A760A31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85EE4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Newsletter-Einwilligungsnachweise</w:t>
            </w:r>
          </w:p>
        </w:tc>
        <w:tc>
          <w:tcPr>
            <w:tcW w:w="0" w:type="auto"/>
            <w:vAlign w:val="center"/>
            <w:hideMark/>
          </w:tcPr>
          <w:p w14:paraId="39DD1F47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Nachweis der rechtmäßigen Verarbeitung</w:t>
            </w:r>
          </w:p>
        </w:tc>
        <w:tc>
          <w:tcPr>
            <w:tcW w:w="0" w:type="auto"/>
            <w:vAlign w:val="center"/>
            <w:hideMark/>
          </w:tcPr>
          <w:p w14:paraId="7305C773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3 Jahre nach Widerruf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oder Beendigung der Nutzung</w:t>
            </w:r>
          </w:p>
        </w:tc>
        <w:tc>
          <w:tcPr>
            <w:tcW w:w="2440" w:type="dxa"/>
            <w:vAlign w:val="center"/>
            <w:hideMark/>
          </w:tcPr>
          <w:p w14:paraId="3FC16CC1" w14:textId="77777777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Löschung des Nachweises (z. B. des Logfiles des Double-Opt-In-Verfahrens).</w:t>
            </w:r>
          </w:p>
        </w:tc>
      </w:tr>
      <w:tr w:rsidR="00C16E3D" w:rsidRPr="00E17D02" w14:paraId="49D3B39A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1F117" w14:textId="21EF25C6" w:rsidR="00C16E3D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Fotos/Videos (PR, Porträts, Fokus auf Person)</w:t>
            </w:r>
          </w:p>
        </w:tc>
        <w:tc>
          <w:tcPr>
            <w:tcW w:w="0" w:type="auto"/>
            <w:vAlign w:val="center"/>
            <w:hideMark/>
          </w:tcPr>
          <w:p w14:paraId="373AB96D" w14:textId="5B115F8D" w:rsidR="00C16E3D" w:rsidRPr="00E17D02" w:rsidRDefault="00C16E3D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Öffentlichkeitsarbeit, Vereins-Website, Social Media,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Marketing, Außendarstellung</w:t>
            </w:r>
          </w:p>
        </w:tc>
        <w:tc>
          <w:tcPr>
            <w:tcW w:w="0" w:type="auto"/>
            <w:vAlign w:val="center"/>
            <w:hideMark/>
          </w:tcPr>
          <w:p w14:paraId="62E85BAB" w14:textId="53341CAD" w:rsidR="00C16E3D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Bis auf Widerruf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der Einwilligung. Bei Widerruf: Löschung auf allen Kanälen, sofern kein berechtigtes Interesse oder Archivzweck (Art. 89 DSGVO) besteht.</w:t>
            </w:r>
          </w:p>
        </w:tc>
        <w:tc>
          <w:tcPr>
            <w:tcW w:w="2440" w:type="dxa"/>
            <w:vAlign w:val="center"/>
            <w:hideMark/>
          </w:tcPr>
          <w:p w14:paraId="07119D7F" w14:textId="7DBB576A" w:rsidR="00C16E3D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Löschung auf allen Kanälen bei Widerruf, soweit technisch möglich.</w:t>
            </w:r>
          </w:p>
        </w:tc>
      </w:tr>
      <w:tr w:rsidR="00E17D02" w:rsidRPr="00E17D02" w14:paraId="383FE9D9" w14:textId="77777777" w:rsidTr="0076261C">
        <w:trPr>
          <w:tblCellSpacing w:w="15" w:type="dxa"/>
        </w:trPr>
        <w:tc>
          <w:tcPr>
            <w:tcW w:w="0" w:type="auto"/>
            <w:vAlign w:val="center"/>
          </w:tcPr>
          <w:p w14:paraId="68A7EFCB" w14:textId="54A4EFDD" w:rsidR="00E17D02" w:rsidRPr="00E17D02" w:rsidRDefault="00E17D02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Fotos/Videos (PR, Übersichten, Events)</w:t>
            </w:r>
          </w:p>
        </w:tc>
        <w:tc>
          <w:tcPr>
            <w:tcW w:w="0" w:type="auto"/>
            <w:vAlign w:val="center"/>
          </w:tcPr>
          <w:p w14:paraId="0DA73177" w14:textId="48DC0CBE" w:rsidR="00E17D02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Historische Dokumentation, Berichterstattung, Öffentlichkeitsarbeit, Vereins-Website, Social Media,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Marketing, Außendarstellung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21593A" w14:textId="18D3DB3A" w:rsidR="00E17D02" w:rsidRPr="00E17D02" w:rsidRDefault="00E17D02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Bei “Berechtigtem Interesse” (Art. 6 lit. f) max. 10 Jahre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für die aktive Nutzung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Danach Überführung ins Vereinsarchiv unter Art. 89 DSGVO (Archivzwecke im öffentlichen Interesse).</w:t>
            </w:r>
          </w:p>
        </w:tc>
        <w:tc>
          <w:tcPr>
            <w:tcW w:w="2440" w:type="dxa"/>
            <w:vAlign w:val="center"/>
          </w:tcPr>
          <w:p w14:paraId="3468EC59" w14:textId="0DFF6A9A" w:rsidR="00E17D02" w:rsidRPr="00E17D02" w:rsidRDefault="00E17D02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Überprüfung und ggf. Überführung ins Vereinsarchiv oder Löschung bei Widerspruch (Art. 21 DSGVO).</w:t>
            </w:r>
          </w:p>
        </w:tc>
      </w:tr>
      <w:tr w:rsidR="0076261C" w:rsidRPr="00E17D02" w14:paraId="54D7E34B" w14:textId="77777777" w:rsidTr="0076261C">
        <w:trPr>
          <w:tblCellSpacing w:w="15" w:type="dxa"/>
        </w:trPr>
        <w:tc>
          <w:tcPr>
            <w:tcW w:w="0" w:type="auto"/>
            <w:vAlign w:val="center"/>
          </w:tcPr>
          <w:p w14:paraId="4F7FCFA4" w14:textId="162130FA" w:rsidR="0076261C" w:rsidRPr="00E17D02" w:rsidRDefault="0076261C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Teilnahmelisten / Eventmanagement</w:t>
            </w:r>
          </w:p>
        </w:tc>
        <w:tc>
          <w:tcPr>
            <w:tcW w:w="0" w:type="auto"/>
            <w:vAlign w:val="center"/>
          </w:tcPr>
          <w:p w14:paraId="754D93C0" w14:textId="1F0C2749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Organisation und Durchführung von Veranstaltungen</w:t>
            </w:r>
          </w:p>
        </w:tc>
        <w:tc>
          <w:tcPr>
            <w:tcW w:w="0" w:type="auto"/>
            <w:vAlign w:val="center"/>
          </w:tcPr>
          <w:p w14:paraId="3C2A3066" w14:textId="673F9F15" w:rsidR="0076261C" w:rsidRPr="00E17D02" w:rsidRDefault="0076261C" w:rsidP="00C16E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6 Monate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nach Beendigung der Veranstaltung</w:t>
            </w:r>
          </w:p>
        </w:tc>
        <w:tc>
          <w:tcPr>
            <w:tcW w:w="2440" w:type="dxa"/>
            <w:vAlign w:val="center"/>
          </w:tcPr>
          <w:p w14:paraId="398F9870" w14:textId="7DC29D5C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Vernichtung physischer Listen; Löschung digitaler Listen.</w:t>
            </w:r>
          </w:p>
        </w:tc>
      </w:tr>
      <w:tr w:rsidR="0076261C" w:rsidRPr="00E17D02" w14:paraId="07D4F298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0A10" w14:textId="7D7A49B6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Logdaten / Systemprotokolle</w:t>
            </w:r>
          </w:p>
        </w:tc>
        <w:tc>
          <w:tcPr>
            <w:tcW w:w="0" w:type="auto"/>
            <w:vAlign w:val="center"/>
            <w:hideMark/>
          </w:tcPr>
          <w:p w14:paraId="1EF4EFF7" w14:textId="377135AD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Gewährleistung der Systemsicherheit und Stabilität</w:t>
            </w:r>
          </w:p>
        </w:tc>
        <w:tc>
          <w:tcPr>
            <w:tcW w:w="0" w:type="auto"/>
            <w:vAlign w:val="center"/>
            <w:hideMark/>
          </w:tcPr>
          <w:p w14:paraId="35A69CA4" w14:textId="60B8DBB4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30 Tage</w:t>
            </w:r>
          </w:p>
        </w:tc>
        <w:tc>
          <w:tcPr>
            <w:tcW w:w="2440" w:type="dxa"/>
            <w:vAlign w:val="center"/>
            <w:hideMark/>
          </w:tcPr>
          <w:p w14:paraId="53D4051C" w14:textId="330E1375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Automatische Löschung durch das System.</w:t>
            </w:r>
          </w:p>
        </w:tc>
      </w:tr>
      <w:tr w:rsidR="0076261C" w:rsidRPr="00E17D02" w14:paraId="5DD009D6" w14:textId="77777777" w:rsidTr="007626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B6885" w14:textId="1EB5274A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Lösch- und Änderungsprotokolle</w:t>
            </w:r>
          </w:p>
        </w:tc>
        <w:tc>
          <w:tcPr>
            <w:tcW w:w="0" w:type="auto"/>
            <w:vAlign w:val="center"/>
            <w:hideMark/>
          </w:tcPr>
          <w:p w14:paraId="26956BBE" w14:textId="70C6D94D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Nachweis der Rechenschaftspflicht (Art. 5 Abs. 2 DSGVO)</w:t>
            </w:r>
          </w:p>
        </w:tc>
        <w:tc>
          <w:tcPr>
            <w:tcW w:w="0" w:type="auto"/>
            <w:vAlign w:val="center"/>
            <w:hideMark/>
          </w:tcPr>
          <w:p w14:paraId="4D531F0E" w14:textId="59562D17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3 Jahre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nach erfolgter Löschung/Änderung</w:t>
            </w:r>
          </w:p>
        </w:tc>
        <w:tc>
          <w:tcPr>
            <w:tcW w:w="2440" w:type="dxa"/>
            <w:vAlign w:val="center"/>
            <w:hideMark/>
          </w:tcPr>
          <w:p w14:paraId="08DB3D6C" w14:textId="33E7CCCB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Getrennte und sichere Aufbewahrung.</w:t>
            </w:r>
          </w:p>
        </w:tc>
      </w:tr>
      <w:tr w:rsidR="0076261C" w:rsidRPr="00E17D02" w14:paraId="1947EBD7" w14:textId="77777777" w:rsidTr="0076261C">
        <w:trPr>
          <w:tblCellSpacing w:w="15" w:type="dxa"/>
        </w:trPr>
        <w:tc>
          <w:tcPr>
            <w:tcW w:w="0" w:type="auto"/>
            <w:vAlign w:val="center"/>
          </w:tcPr>
          <w:p w14:paraId="11163A06" w14:textId="293B9666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1CBCC582" w14:textId="13010578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10F1D117" w14:textId="35A4EC11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  <w:tc>
          <w:tcPr>
            <w:tcW w:w="2440" w:type="dxa"/>
            <w:vAlign w:val="center"/>
          </w:tcPr>
          <w:p w14:paraId="27EF1010" w14:textId="31AF8598" w:rsidR="0076261C" w:rsidRPr="00E17D02" w:rsidRDefault="0076261C" w:rsidP="00C16E3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</w:tr>
    </w:tbl>
    <w:p w14:paraId="2E692AE7" w14:textId="77777777" w:rsidR="00AF5E08" w:rsidRPr="00E17D02" w:rsidRDefault="00AF5E08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</w:p>
    <w:p w14:paraId="708C65D2" w14:textId="77777777" w:rsidR="00AF5E08" w:rsidRPr="00E17D02" w:rsidRDefault="00AF5E08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</w:p>
    <w:p w14:paraId="711AB897" w14:textId="77777777" w:rsidR="00AF5E08" w:rsidRPr="00E17D02" w:rsidRDefault="00AF5E08" w:rsidP="00C16E3D">
      <w:pPr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</w:p>
    <w:p w14:paraId="4DA9F6A0" w14:textId="552B16E8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5. Technische und organisatorische Umsetzung</w:t>
      </w:r>
    </w:p>
    <w:p w14:paraId="0C672A1A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Die Löschung erfolgt auf unterschiedlichen Speichermedien und Systemen:</w:t>
      </w:r>
    </w:p>
    <w:p w14:paraId="6CC6CFFB" w14:textId="77777777" w:rsidR="00C16E3D" w:rsidRPr="00E17D02" w:rsidRDefault="00C16E3D" w:rsidP="00C16E3D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Aktive Datenbestände</w:t>
      </w:r>
      <w:r>
        <w:rPr>
          <w:rFonts w:asciiTheme="majorHAnsi" w:hAnsiTheme="majorHAnsi" w:cstheme="majorHAnsi"/>
          <w:sz w:val="24"/>
          <w:szCs w:val="24"/>
          <w:lang w:val="de-DE"/>
        </w:rPr>
        <w:t>: Löschung der Datensätze in der Mitgliederverwaltung (z. B. Excel-Datei, Datenbanken) durch autorisiertes Personal.</w:t>
      </w:r>
    </w:p>
    <w:p w14:paraId="2225B44A" w14:textId="77777777" w:rsidR="00C16E3D" w:rsidRPr="00E17D02" w:rsidRDefault="00C16E3D" w:rsidP="00C16E3D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Physische Unterlagen</w:t>
      </w:r>
      <w:r>
        <w:rPr>
          <w:rFonts w:asciiTheme="majorHAnsi" w:hAnsiTheme="majorHAnsi" w:cstheme="majorHAnsi"/>
          <w:sz w:val="24"/>
          <w:szCs w:val="24"/>
          <w:lang w:val="de-DE"/>
        </w:rPr>
        <w:t>: Vernichtung von Papierdokumenten und Listen mittels Aktenvernichter (Sicherheitsstufe P-4 oder höher).</w:t>
      </w:r>
    </w:p>
    <w:p w14:paraId="1B824823" w14:textId="77777777" w:rsidR="00C16E3D" w:rsidRPr="00E17D02" w:rsidRDefault="00C16E3D" w:rsidP="00C16E3D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Digitale Speichermedien</w:t>
      </w:r>
      <w:r>
        <w:rPr>
          <w:rFonts w:asciiTheme="majorHAnsi" w:hAnsiTheme="majorHAnsi" w:cstheme="majorHAnsi"/>
          <w:sz w:val="24"/>
          <w:szCs w:val="24"/>
          <w:lang w:val="de-DE"/>
        </w:rPr>
        <w:t>:</w:t>
      </w:r>
    </w:p>
    <w:p w14:paraId="7016249A" w14:textId="77777777" w:rsidR="00C16E3D" w:rsidRPr="00E17D02" w:rsidRDefault="00C16E3D" w:rsidP="00C16E3D">
      <w:pPr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Datenträgermanagement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: Bei der Entsorgung oder Ausmusterung von Laptops oder Speichermedien ist die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sichere Löschung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(nach dem Stand der Technik) oder die physische Zerstörung sicherzustellen.</w:t>
      </w:r>
    </w:p>
    <w:p w14:paraId="1C872980" w14:textId="73B32FFB" w:rsidR="00C16E3D" w:rsidRPr="00E17D02" w:rsidRDefault="00C16E3D" w:rsidP="00952709">
      <w:pPr>
        <w:numPr>
          <w:ilvl w:val="1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Löschung in Backups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Die Löschung in Backups erfolgt automatisch, da Daten vor dem monatlichen Backup aus den aktiven Systemen gelöscht werden. Bei Beendigung eines Dienstleistungsverhältnisses wird die Datenlöschung im AVV geregelt.</w:t>
      </w:r>
    </w:p>
    <w:p w14:paraId="084FC93A" w14:textId="216C1C5D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6. Dokumentation der Löschung (Anlage F)</w:t>
      </w:r>
    </w:p>
    <w:p w14:paraId="77E7729C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Zur Erfüllung der Rechenschaftspflicht (Art. 5 Abs. 2 DSGVO) muss jede Löschung dokumentiert werden.</w:t>
      </w:r>
    </w:p>
    <w:p w14:paraId="0524C1E3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Das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Löschprotokoll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enthält mindestens:</w:t>
      </w:r>
    </w:p>
    <w:p w14:paraId="6E2ED4A3" w14:textId="564BC4BA" w:rsidR="00C16E3D" w:rsidRPr="00E17D02" w:rsidRDefault="00C16E3D" w:rsidP="00C16E3D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Datum der Löschung</w:t>
      </w:r>
    </w:p>
    <w:p w14:paraId="15A073BE" w14:textId="33C6FB6C" w:rsidR="00C16E3D" w:rsidRPr="00E17D02" w:rsidRDefault="00C16E3D" w:rsidP="00C16E3D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lastRenderedPageBreak/>
        <w:t>Betroffene Datenkategorie (z. B. „Mitgliederdaten, ausgetretenes Mitglied, Austrittsdatum 01/2026“) – keine Klarnamen</w:t>
      </w:r>
    </w:p>
    <w:p w14:paraId="478503AF" w14:textId="73A82EA1" w:rsidR="00C16E3D" w:rsidRPr="00E17D02" w:rsidRDefault="00C16E3D" w:rsidP="00C16E3D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System/Datenträger</w:t>
      </w:r>
    </w:p>
    <w:p w14:paraId="54EB2B3D" w14:textId="1611D2DF" w:rsidR="00C16E3D" w:rsidRPr="00E17D02" w:rsidRDefault="00C16E3D" w:rsidP="00C16E3D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Verantwortliche Person</w:t>
      </w:r>
    </w:p>
    <w:p w14:paraId="5CE694C1" w14:textId="44D37C91" w:rsidR="00C16E3D" w:rsidRPr="00E17D02" w:rsidRDefault="00C16E3D" w:rsidP="00C16E3D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Verwendete Löschmethode</w:t>
      </w:r>
    </w:p>
    <w:p w14:paraId="14E5A8E7" w14:textId="77777777" w:rsidR="00C16E3D" w:rsidRPr="00E17D02" w:rsidRDefault="00C16E3D" w:rsidP="00C16E3D">
      <w:pPr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7. Überprüfung und Aktualisierung</w:t>
      </w:r>
    </w:p>
    <w:p w14:paraId="498D51E7" w14:textId="5BFF0D72" w:rsidR="00C16E3D" w:rsidRPr="00E17D02" w:rsidRDefault="00C16E3D" w:rsidP="00FF0E0C">
      <w:pPr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Dieses Löschkonzept (Anlage E) ist als Teil des gesamten Datenschutzkonzepts mindestens </w:t>
      </w: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>einmal jährlich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zu überprüfen und bei Bedarf (z. B. Gesetzesänderungen, neue Verarbeitungstätigkeiten) zu aktualisieren. </w:t>
      </w:r>
      <w:r>
        <w:rPr>
          <w:rFonts w:asciiTheme="majorHAnsi" w:hAnsiTheme="majorHAnsi" w:cstheme="majorHAnsi"/>
          <w:sz w:val="24"/>
          <w:szCs w:val="24"/>
        </w:rPr>
        <w:t>Die Ergebnisse der Überprüfung werden dokumentiert.</w:t>
      </w:r>
    </w:p>
    <w:p w14:paraId="244FB666" w14:textId="51B327CF" w:rsidR="00C16E3D" w:rsidRPr="00E17D02" w:rsidRDefault="00C16E3D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</w:pPr>
    </w:p>
    <w:sectPr w:rsidR="00C16E3D" w:rsidRPr="00E17D0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6B16" w14:textId="77777777" w:rsidR="00CE10E0" w:rsidRDefault="00CE10E0" w:rsidP="00AF5E08">
      <w:pPr>
        <w:spacing w:after="0" w:line="240" w:lineRule="auto"/>
      </w:pPr>
      <w:r>
        <w:separator/>
      </w:r>
    </w:p>
  </w:endnote>
  <w:endnote w:type="continuationSeparator" w:id="0">
    <w:p w14:paraId="3FB1A117" w14:textId="77777777" w:rsidR="00CE10E0" w:rsidRDefault="00CE10E0" w:rsidP="00AF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95093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E5D3536" w14:textId="0811381A" w:rsidR="003B0825" w:rsidRPr="003B0825" w:rsidRDefault="003B0825">
        <w:pPr>
          <w:pStyle w:val="Fuzeile"/>
          <w:jc w:val="right"/>
          <w:rPr>
            <w:rFonts w:ascii="Calibri" w:hAnsi="Calibri" w:cs="Calibri"/>
          </w:rPr>
        </w:pPr>
        <w:r w:rsidRPr="003B0825">
          <w:rPr>
            <w:rFonts w:ascii="Calibri" w:hAnsi="Calibri" w:cs="Calibri"/>
          </w:rPr>
          <w:fldChar w:fldCharType="begin"/>
        </w:r>
        <w:r w:rsidRPr="003B0825">
          <w:rPr>
            <w:rFonts w:ascii="Calibri" w:hAnsi="Calibri" w:cs="Calibri"/>
          </w:rPr>
          <w:instrText>PAGE   \* MERGEFORMAT</w:instrText>
        </w:r>
        <w:r w:rsidRPr="003B0825">
          <w:rPr>
            <w:rFonts w:ascii="Calibri" w:hAnsi="Calibri" w:cs="Calibri"/>
          </w:rPr>
          <w:fldChar w:fldCharType="separate"/>
        </w:r>
        <w:r w:rsidRPr="003B0825">
          <w:rPr>
            <w:rFonts w:ascii="Calibri" w:hAnsi="Calibri" w:cs="Calibri"/>
            <w:lang w:val="de-DE"/>
          </w:rPr>
          <w:t>2</w:t>
        </w:r>
        <w:r w:rsidRPr="003B0825">
          <w:rPr>
            <w:rFonts w:ascii="Calibri" w:hAnsi="Calibri" w:cs="Calibri"/>
          </w:rPr>
          <w:fldChar w:fldCharType="end"/>
        </w:r>
      </w:p>
    </w:sdtContent>
  </w:sdt>
  <w:p w14:paraId="6E9EA74D" w14:textId="77777777" w:rsidR="00AF5E08" w:rsidRDefault="00AF5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9DA9" w14:textId="77777777" w:rsidR="00CE10E0" w:rsidRDefault="00CE10E0" w:rsidP="00AF5E08">
      <w:pPr>
        <w:spacing w:after="0" w:line="240" w:lineRule="auto"/>
      </w:pPr>
      <w:r>
        <w:separator/>
      </w:r>
    </w:p>
  </w:footnote>
  <w:footnote w:type="continuationSeparator" w:id="0">
    <w:p w14:paraId="2B62FB62" w14:textId="77777777" w:rsidR="00CE10E0" w:rsidRDefault="00CE10E0" w:rsidP="00AF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5D" w14:textId="77777777" w:rsidR="00EA0B62" w:rsidRPr="007328B0" w:rsidRDefault="00EA0B62" w:rsidP="00EA0B62">
    <w:pPr>
      <w:pBdr>
        <w:bottom w:val="single" w:sz="12" w:space="1" w:color="auto"/>
      </w:pBdr>
      <w:jc w:val="center"/>
      <w:rPr>
        <w:rFonts w:ascii="Bookman Old Style" w:hAnsi="Bookman Old Style" w:cs="Arial"/>
        <w:b/>
        <w:sz w:val="32"/>
        <w:szCs w:val="32"/>
      </w:rPr>
    </w:pPr>
    <w:r w:rsidRPr="007328B0">
      <w:rPr>
        <w:rFonts w:ascii="Bookman Old Style" w:hAnsi="Bookman Old Style" w:cs="Arial"/>
        <w:b/>
        <w:sz w:val="32"/>
        <w:szCs w:val="32"/>
      </w:rPr>
      <w:t xml:space="preserve">CAPOEIRA FLENSBURG </w:t>
    </w:r>
    <w:proofErr w:type="spellStart"/>
    <w:r>
      <w:rPr>
        <w:rFonts w:ascii="Bookman Old Style" w:hAnsi="Bookman Old Style" w:cs="Arial"/>
        <w:b/>
        <w:sz w:val="32"/>
        <w:szCs w:val="32"/>
      </w:rPr>
      <w:t>e</w:t>
    </w:r>
    <w:r w:rsidRPr="007328B0">
      <w:rPr>
        <w:rFonts w:ascii="Bookman Old Style" w:hAnsi="Bookman Old Style" w:cs="Arial"/>
        <w:b/>
        <w:sz w:val="32"/>
        <w:szCs w:val="32"/>
      </w:rPr>
      <w:t>.V.</w:t>
    </w:r>
    <w:proofErr w:type="spellEnd"/>
  </w:p>
  <w:p w14:paraId="558D4D3D" w14:textId="2FA6CECA" w:rsidR="00EA0B62" w:rsidRDefault="00EA0B62" w:rsidP="00EA0B62">
    <w:pPr>
      <w:pStyle w:val="Kopfzeile"/>
      <w:jc w:val="center"/>
    </w:pPr>
    <w:proofErr w:type="spellStart"/>
    <w:r>
      <w:rPr>
        <w:rFonts w:ascii="Bookman Old Style" w:hAnsi="Bookman Old Style" w:cs="Arial"/>
        <w:b/>
        <w:sz w:val="32"/>
        <w:szCs w:val="32"/>
      </w:rPr>
      <w:t>Datenschutzkonzept</w:t>
    </w:r>
    <w:proofErr w:type="spellEnd"/>
    <w:r>
      <w:rPr>
        <w:rFonts w:ascii="Bookman Old Style" w:hAnsi="Bookman Old Style" w:cs="Arial"/>
        <w:b/>
        <w:sz w:val="32"/>
        <w:szCs w:val="32"/>
      </w:rPr>
      <w:t xml:space="preserve"> – Anlage E</w:t>
    </w:r>
  </w:p>
  <w:p w14:paraId="3C2C518A" w14:textId="77777777" w:rsidR="00EA0B62" w:rsidRDefault="00EA0B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B72BD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1D39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13939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720C7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B09E3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C1920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16C6C"/>
    <w:multiLevelType w:val="multilevel"/>
    <w:tmpl w:val="8C46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14B3A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117939">
    <w:abstractNumId w:val="8"/>
  </w:num>
  <w:num w:numId="2" w16cid:durableId="1622762795">
    <w:abstractNumId w:val="6"/>
  </w:num>
  <w:num w:numId="3" w16cid:durableId="1281063603">
    <w:abstractNumId w:val="5"/>
  </w:num>
  <w:num w:numId="4" w16cid:durableId="1992367952">
    <w:abstractNumId w:val="4"/>
  </w:num>
  <w:num w:numId="5" w16cid:durableId="981227094">
    <w:abstractNumId w:val="7"/>
  </w:num>
  <w:num w:numId="6" w16cid:durableId="405343821">
    <w:abstractNumId w:val="3"/>
  </w:num>
  <w:num w:numId="7" w16cid:durableId="890194969">
    <w:abstractNumId w:val="2"/>
  </w:num>
  <w:num w:numId="8" w16cid:durableId="1555972030">
    <w:abstractNumId w:val="1"/>
  </w:num>
  <w:num w:numId="9" w16cid:durableId="41826746">
    <w:abstractNumId w:val="0"/>
  </w:num>
  <w:num w:numId="10" w16cid:durableId="1310867033">
    <w:abstractNumId w:val="10"/>
  </w:num>
  <w:num w:numId="11" w16cid:durableId="53819532">
    <w:abstractNumId w:val="11"/>
  </w:num>
  <w:num w:numId="12" w16cid:durableId="734859466">
    <w:abstractNumId w:val="12"/>
  </w:num>
  <w:num w:numId="13" w16cid:durableId="576785917">
    <w:abstractNumId w:val="15"/>
  </w:num>
  <w:num w:numId="14" w16cid:durableId="188881901">
    <w:abstractNumId w:val="14"/>
  </w:num>
  <w:num w:numId="15" w16cid:durableId="2023622356">
    <w:abstractNumId w:val="13"/>
  </w:num>
  <w:num w:numId="16" w16cid:durableId="141775965">
    <w:abstractNumId w:val="9"/>
  </w:num>
  <w:num w:numId="17" w16cid:durableId="8299087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46D"/>
    <w:rsid w:val="00034616"/>
    <w:rsid w:val="0006063C"/>
    <w:rsid w:val="0009631D"/>
    <w:rsid w:val="0015074B"/>
    <w:rsid w:val="001824AB"/>
    <w:rsid w:val="002454FC"/>
    <w:rsid w:val="0029639D"/>
    <w:rsid w:val="00326F90"/>
    <w:rsid w:val="00386B2F"/>
    <w:rsid w:val="003B0825"/>
    <w:rsid w:val="004269E1"/>
    <w:rsid w:val="005458E1"/>
    <w:rsid w:val="006525C9"/>
    <w:rsid w:val="006763C4"/>
    <w:rsid w:val="006A632E"/>
    <w:rsid w:val="0076261C"/>
    <w:rsid w:val="00771F22"/>
    <w:rsid w:val="0084135E"/>
    <w:rsid w:val="00882B54"/>
    <w:rsid w:val="00952709"/>
    <w:rsid w:val="009C563C"/>
    <w:rsid w:val="00AA1D8D"/>
    <w:rsid w:val="00AF5E08"/>
    <w:rsid w:val="00B47730"/>
    <w:rsid w:val="00C16E3D"/>
    <w:rsid w:val="00C55F1B"/>
    <w:rsid w:val="00CB0664"/>
    <w:rsid w:val="00CE10E0"/>
    <w:rsid w:val="00DC2F33"/>
    <w:rsid w:val="00DE4B4D"/>
    <w:rsid w:val="00E17D02"/>
    <w:rsid w:val="00EA0B62"/>
    <w:rsid w:val="00ED2CEE"/>
    <w:rsid w:val="00FC693F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11AC6"/>
  <w14:defaultImageDpi w14:val="300"/>
  <w15:docId w15:val="{E67AF595-D371-4725-A55A-C44E5251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Marinheiro Brockhoefer</cp:lastModifiedBy>
  <cp:revision>4</cp:revision>
  <dcterms:created xsi:type="dcterms:W3CDTF">2026-04-15T13:57:00Z</dcterms:created>
  <dcterms:modified xsi:type="dcterms:W3CDTF">2026-04-17T07:16:00Z</dcterms:modified>
  <cp:category/>
</cp:coreProperties>
</file>