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76EC" w14:textId="2828DD81" w:rsidR="00A345FF" w:rsidRPr="00B97098" w:rsidRDefault="00B97098" w:rsidP="00B97098">
      <w:pPr>
        <w:rPr>
          <w:b/>
          <w:bCs/>
          <w:sz w:val="28"/>
          <w:szCs w:val="28"/>
        </w:rPr>
      </w:pPr>
      <w:r>
        <w:rPr>
          <w:b/>
          <w:bCs/>
          <w:sz w:val="28"/>
          <w:szCs w:val="28"/>
        </w:rPr>
        <w:t>Datenschutz-Spickzettel – Capoeira Flensburg e. V.</w:t>
      </w:r>
    </w:p>
    <w:p w14:paraId="3984BC3F" w14:textId="77777777" w:rsidR="00B97098" w:rsidRPr="00B97098" w:rsidRDefault="00B97098" w:rsidP="00B97098">
      <w:pPr>
        <w:rPr>
          <w:b/>
          <w:bCs/>
        </w:rPr>
      </w:pPr>
      <w:r>
        <w:rPr>
          <w:b/>
          <w:bCs/>
        </w:rPr>
        <w:t>1. Grundprinzipien</w:t>
      </w:r>
    </w:p>
    <w:p w14:paraId="34369886" w14:textId="77777777" w:rsidR="00B97098" w:rsidRPr="00B97098" w:rsidRDefault="00B97098" w:rsidP="00B97098">
      <w:pPr>
        <w:numPr>
          <w:ilvl w:val="0"/>
          <w:numId w:val="1"/>
        </w:numPr>
      </w:pPr>
      <w:r>
        <w:rPr>
          <w:b/>
          <w:bCs/>
        </w:rPr>
        <w:t>Zweckbindung:</w:t>
      </w:r>
      <w:r>
        <w:t xml:space="preserve"> Daten nur für Vereinszwecke verwenden (Mitgliedsverwaltung, Buchhaltung, Training).</w:t>
      </w:r>
    </w:p>
    <w:p w14:paraId="2D862C24" w14:textId="77777777" w:rsidR="00B97098" w:rsidRPr="00B97098" w:rsidRDefault="00B97098" w:rsidP="00B97098">
      <w:pPr>
        <w:numPr>
          <w:ilvl w:val="0"/>
          <w:numId w:val="1"/>
        </w:numPr>
      </w:pPr>
      <w:r>
        <w:rPr>
          <w:b/>
          <w:bCs/>
        </w:rPr>
        <w:t>Datenminimierung:</w:t>
      </w:r>
      <w:r>
        <w:t xml:space="preserve"> Nur notwendige Daten erheben.</w:t>
      </w:r>
    </w:p>
    <w:p w14:paraId="0F58244B" w14:textId="18C029D3" w:rsidR="00B97098" w:rsidRPr="00B97098" w:rsidRDefault="00B97098" w:rsidP="00B97098">
      <w:pPr>
        <w:numPr>
          <w:ilvl w:val="0"/>
          <w:numId w:val="1"/>
        </w:numPr>
      </w:pPr>
      <w:r>
        <w:rPr>
          <w:b/>
          <w:bCs/>
        </w:rPr>
        <w:t>Speicherbegrenzung:</w:t>
      </w:r>
      <w:r>
        <w:t xml:space="preserve"> Daten nach Wegfall des Zwecks oder Ablauf der Frist löschen (siehe Löschkonzept, Anlage E). </w:t>
      </w:r>
      <w:r>
        <w:rPr>
          <w:b/>
          <w:bCs/>
        </w:rPr>
        <w:t xml:space="preserve">Achtung: Finanzdaten </w:t>
      </w:r>
      <w:r>
        <w:t>(Belege, Kontoauszüge) müssen aufgrund gesetzlicher Fristen (AO/HGB) bis zu 10 Jahre aufbewahrt und bis dahin technisch gesperrt (Einschränkung der Verarbeitung) werden.</w:t>
      </w:r>
    </w:p>
    <w:p w14:paraId="43750219" w14:textId="77777777" w:rsidR="00B97098" w:rsidRPr="00B97098" w:rsidRDefault="00B97098" w:rsidP="00B97098">
      <w:pPr>
        <w:numPr>
          <w:ilvl w:val="0"/>
          <w:numId w:val="1"/>
        </w:numPr>
      </w:pPr>
      <w:r>
        <w:rPr>
          <w:b/>
          <w:bCs/>
        </w:rPr>
        <w:t>Vertraulichkeit:</w:t>
      </w:r>
      <w:r>
        <w:t xml:space="preserve"> Unbefugten keinen Zugriff gewähren, auch nach Ausscheiden aus dem Verein.</w:t>
      </w:r>
    </w:p>
    <w:p w14:paraId="7ADE6367" w14:textId="77777777" w:rsidR="00B97098" w:rsidRPr="00B97098" w:rsidRDefault="00B97098" w:rsidP="00B97098">
      <w:pPr>
        <w:rPr>
          <w:b/>
          <w:bCs/>
        </w:rPr>
      </w:pPr>
      <w:r>
        <w:rPr>
          <w:b/>
          <w:bCs/>
        </w:rPr>
        <w:t>2. Verantwortlichkeiten</w:t>
      </w:r>
    </w:p>
    <w:p w14:paraId="40985CF4" w14:textId="77777777" w:rsidR="00B97098" w:rsidRPr="00B97098" w:rsidRDefault="00B97098" w:rsidP="00B97098">
      <w:pPr>
        <w:numPr>
          <w:ilvl w:val="0"/>
          <w:numId w:val="2"/>
        </w:numPr>
      </w:pPr>
      <w:r>
        <w:rPr>
          <w:b/>
          <w:bCs/>
        </w:rPr>
        <w:t>Vorstand:</w:t>
      </w:r>
      <w:r>
        <w:t xml:space="preserve"> Genehmigung des Datenschutzkonzepts, übergeordnete Verantwortung.</w:t>
      </w:r>
    </w:p>
    <w:p w14:paraId="3032E445" w14:textId="77777777" w:rsidR="00B97098" w:rsidRPr="00B97098" w:rsidRDefault="00B97098" w:rsidP="00B97098">
      <w:pPr>
        <w:numPr>
          <w:ilvl w:val="0"/>
          <w:numId w:val="2"/>
        </w:numPr>
      </w:pPr>
      <w:r>
        <w:rPr>
          <w:b/>
          <w:bCs/>
        </w:rPr>
        <w:t>Datenschutz-Ansprechpartner:</w:t>
      </w:r>
      <w:r>
        <w:t xml:space="preserve"> Operative Umsetzung, Ansprechpartner für Betroffeneanfragen.</w:t>
      </w:r>
    </w:p>
    <w:p w14:paraId="2B6BE690" w14:textId="77777777" w:rsidR="00B97098" w:rsidRPr="00B97098" w:rsidRDefault="00B97098" w:rsidP="00B97098">
      <w:pPr>
        <w:numPr>
          <w:ilvl w:val="0"/>
          <w:numId w:val="2"/>
        </w:numPr>
      </w:pPr>
      <w:r>
        <w:rPr>
          <w:b/>
          <w:bCs/>
        </w:rPr>
        <w:t>Kassenwart:</w:t>
      </w:r>
      <w:r>
        <w:t xml:space="preserve"> Finanzdaten und Buchhaltung, Löschfristen überwachen.</w:t>
      </w:r>
    </w:p>
    <w:p w14:paraId="6578DE54" w14:textId="77777777" w:rsidR="00B97098" w:rsidRPr="00B97098" w:rsidRDefault="00B97098" w:rsidP="00B97098">
      <w:pPr>
        <w:numPr>
          <w:ilvl w:val="0"/>
          <w:numId w:val="2"/>
        </w:numPr>
      </w:pPr>
      <w:r>
        <w:rPr>
          <w:b/>
          <w:bCs/>
        </w:rPr>
        <w:t>Trainer:innen:</w:t>
      </w:r>
      <w:r>
        <w:t xml:space="preserve"> Sensible Daten der Mitglieder nur für Trainingszwecke nutzen, Einwilligungen einholen.</w:t>
      </w:r>
    </w:p>
    <w:p w14:paraId="68F6294F" w14:textId="77777777" w:rsidR="00B97098" w:rsidRPr="00B97098" w:rsidRDefault="00B97098" w:rsidP="00B97098">
      <w:pPr>
        <w:numPr>
          <w:ilvl w:val="0"/>
          <w:numId w:val="2"/>
        </w:numPr>
      </w:pPr>
      <w:r>
        <w:rPr>
          <w:b/>
          <w:bCs/>
        </w:rPr>
        <w:t>Kassenprüfende:</w:t>
      </w:r>
      <w:r>
        <w:t xml:space="preserve"> Einsicht nur für Prüfung, Unterlagen vertraulich behandeln.</w:t>
      </w:r>
    </w:p>
    <w:p w14:paraId="469BB203" w14:textId="77777777" w:rsidR="00B97098" w:rsidRPr="00B97098" w:rsidRDefault="00B97098" w:rsidP="00B97098">
      <w:pPr>
        <w:rPr>
          <w:b/>
          <w:bCs/>
        </w:rPr>
      </w:pPr>
      <w:r>
        <w:rPr>
          <w:b/>
          <w:bCs/>
        </w:rPr>
        <w:t>3. Technische Regeln (TOMs)</w:t>
      </w:r>
    </w:p>
    <w:p w14:paraId="5E08EFA9" w14:textId="43B96C0E" w:rsidR="00B97098" w:rsidRPr="00B97098" w:rsidRDefault="00B97098" w:rsidP="00B97098">
      <w:pPr>
        <w:numPr>
          <w:ilvl w:val="0"/>
          <w:numId w:val="3"/>
        </w:numPr>
      </w:pPr>
      <w:r>
        <w:t xml:space="preserve">Geräte mit </w:t>
      </w:r>
      <w:r>
        <w:rPr>
          <w:b/>
          <w:bCs/>
        </w:rPr>
        <w:t>Passwortschutz</w:t>
      </w:r>
      <w:r>
        <w:t xml:space="preserve"> sichern; Bildschirm nach 5 Minuten sperren. Multi-Faktor-Authentifizierung (MFA) ist für alle Online-Zugänge (E-Mail, Cloud-Dienste, Online-Banking) zwingend zu aktivieren.</w:t>
      </w:r>
    </w:p>
    <w:p w14:paraId="701DABD1" w14:textId="77777777" w:rsidR="00BB1742" w:rsidRDefault="00BB1742" w:rsidP="00BB1742">
      <w:pPr>
        <w:numPr>
          <w:ilvl w:val="0"/>
          <w:numId w:val="3"/>
        </w:numPr>
      </w:pPr>
      <w:r>
        <w:t>Grundsatz zur Gerätenutzung (BYOD – Bring Your Own Device): Da der Verein keine eigenen Geräte stellt, dürfen Vorstandsmitglieder und Trainer:innen private Endgeräte (Laptops, PCs) zur Verarbeitung von Vereinsdaten nutzen, wenn folgende zwingende Maßnahmen zur Vertraulichkeit (Art. 32 DSGVO) eingehalten werden:</w:t>
      </w:r>
    </w:p>
    <w:p w14:paraId="3D557699" w14:textId="4A2EFF86" w:rsidR="00BB1742" w:rsidRDefault="00BB1742" w:rsidP="00BB1742">
      <w:pPr>
        <w:numPr>
          <w:ilvl w:val="1"/>
          <w:numId w:val="3"/>
        </w:numPr>
      </w:pPr>
      <w:r>
        <w:rPr>
          <w:b/>
          <w:bCs/>
        </w:rPr>
        <w:t>Nutzerkonto:</w:t>
      </w:r>
      <w:r>
        <w:t xml:space="preserve"> Vereinsdaten werden auf einem separaten, passwortgeschützten Nutzerkonto gespeichert.</w:t>
      </w:r>
    </w:p>
    <w:p w14:paraId="31C88D90" w14:textId="77777777" w:rsidR="00BB1742" w:rsidRDefault="00BB1742" w:rsidP="00BB1742">
      <w:pPr>
        <w:numPr>
          <w:ilvl w:val="1"/>
          <w:numId w:val="3"/>
        </w:numPr>
      </w:pPr>
      <w:r>
        <w:rPr>
          <w:b/>
          <w:bCs/>
        </w:rPr>
        <w:t>Verschlüsselung:</w:t>
      </w:r>
      <w:r>
        <w:t xml:space="preserve"> Für besonders sensible Daten (z. B. Gesundheitsdaten) ist ein verschlüsseltes Speichermedium zu verwenden (z. B. BitLocker, VeraCrypt).</w:t>
      </w:r>
    </w:p>
    <w:p w14:paraId="0B694EEF" w14:textId="1F71094C" w:rsidR="00BB1742" w:rsidRDefault="00BB1742" w:rsidP="00BB1742">
      <w:pPr>
        <w:numPr>
          <w:ilvl w:val="1"/>
          <w:numId w:val="3"/>
        </w:numPr>
      </w:pPr>
      <w:r>
        <w:rPr>
          <w:b/>
          <w:bCs/>
        </w:rPr>
        <w:lastRenderedPageBreak/>
        <w:t>Passwortschutz:</w:t>
      </w:r>
      <w:r>
        <w:t xml:space="preserve"> Die Geräte selbst müssen mit einem starken Passwort und einer Bildschirmsperre gesichert sein.</w:t>
      </w:r>
    </w:p>
    <w:p w14:paraId="3D4837B3" w14:textId="2C065871" w:rsidR="00BB1742" w:rsidRDefault="00BB1742" w:rsidP="00BB1742">
      <w:pPr>
        <w:numPr>
          <w:ilvl w:val="1"/>
          <w:numId w:val="3"/>
        </w:numPr>
      </w:pPr>
      <w:r>
        <w:rPr>
          <w:b/>
          <w:bCs/>
        </w:rPr>
        <w:t>Datentrennung:</w:t>
      </w:r>
      <w:r>
        <w:t xml:space="preserve"> Vereinsdaten dürfen nicht auf privaten Cloud-Diensten gespeichert oder darüber übermittelt werden.</w:t>
      </w:r>
    </w:p>
    <w:p w14:paraId="3D4837B4" w14:textId="77777777" w:rsidR="00BB1742" w:rsidRDefault="00BB1742" w:rsidP="00BB1742">
      <w:pPr>
        <w:numPr>
          <w:ilvl w:val="1"/>
          <w:numId w:val="3"/>
        </w:numPr>
      </w:pPr>
      <w:r>
        <w:rPr>
          <w:b/>
          <w:bCs/>
        </w:rPr>
        <w:t>Ausnahme:</w:t>
      </w:r>
      <w:r>
        <w:t xml:space="preserve"> Personen, die Vereinsdaten nur vorübergehend zur Prüfung erhalten (z. B. Kassenprüfende), dürfen diese auf ihrem privaten Gerät öffnen und bearbeiten, sind jedoch verpflichtet, die Daten nach Abschluss unverzüglich zu löschen (siehe Anlage I).</w:t>
      </w:r>
    </w:p>
    <w:p w14:paraId="60883498" w14:textId="5F0C3664" w:rsidR="00C002D3" w:rsidRDefault="00C002D3" w:rsidP="00C002D3">
      <w:r>
        <w:rPr>
          <w:b/>
          <w:bCs/>
        </w:rPr>
        <w:t>Praxisbeispiel:</w:t>
      </w:r>
      <w:r>
        <w:t xml:space="preserve"> Mitgliederdaten werden in der Excel-Liste auf dem privaten Laptop des Kassenwarts gespeichert – in einem separaten, passwortgeschützten Nutzerkonto für Vereinsarbeit. Für Gesundheitsdaten wird zusätzlich ein verschlüsseltes Speichermedium (z. B. VeraCrypt) genutzt.</w:t>
      </w:r>
    </w:p>
    <w:p w14:paraId="687DE7C2" w14:textId="77777777" w:rsidR="00C002D3" w:rsidRDefault="00C002D3" w:rsidP="00C002D3"/>
    <w:p w14:paraId="0A2B6B51" w14:textId="23D12452" w:rsidR="00C002D3" w:rsidRPr="00C002D3" w:rsidRDefault="00C002D3" w:rsidP="00C002D3">
      <w:pPr>
        <w:rPr>
          <w:b/>
          <w:bCs/>
        </w:rPr>
      </w:pPr>
      <w:r>
        <w:rPr>
          <w:b/>
          <w:bCs/>
        </w:rPr>
        <w:t xml:space="preserve">Sonstiges: </w:t>
      </w:r>
    </w:p>
    <w:p w14:paraId="62100458" w14:textId="77777777" w:rsidR="00B97098" w:rsidRPr="00B97098" w:rsidRDefault="00B97098" w:rsidP="00B97098">
      <w:pPr>
        <w:numPr>
          <w:ilvl w:val="0"/>
          <w:numId w:val="3"/>
        </w:numPr>
      </w:pPr>
      <w:r>
        <w:t>Verschlüsselte Übertragung (TLS/SSL) bei sensiblen Daten.</w:t>
      </w:r>
    </w:p>
    <w:p w14:paraId="1B839A95" w14:textId="77777777" w:rsidR="00B97098" w:rsidRPr="00B97098" w:rsidRDefault="00B97098" w:rsidP="00B97098">
      <w:pPr>
        <w:numPr>
          <w:ilvl w:val="0"/>
          <w:numId w:val="3"/>
        </w:numPr>
      </w:pPr>
      <w:r>
        <w:t>Backups monatlich, verschlüsselt, getrennt speichern.</w:t>
      </w:r>
    </w:p>
    <w:p w14:paraId="22CE0E36" w14:textId="77777777" w:rsidR="00B97098" w:rsidRPr="00B97098" w:rsidRDefault="00B97098" w:rsidP="00B97098">
      <w:pPr>
        <w:numPr>
          <w:ilvl w:val="0"/>
          <w:numId w:val="3"/>
        </w:numPr>
      </w:pPr>
      <w:r>
        <w:t>Lösch- und Änderungsprotokolle führen (Anlage F).</w:t>
      </w:r>
    </w:p>
    <w:p w14:paraId="5603FD6A" w14:textId="472E5415" w:rsidR="00B97098" w:rsidRPr="00B97098" w:rsidRDefault="00B97098" w:rsidP="00B97098">
      <w:pPr>
        <w:rPr>
          <w:b/>
          <w:bCs/>
        </w:rPr>
      </w:pPr>
      <w:r>
        <w:rPr>
          <w:b/>
          <w:bCs/>
        </w:rPr>
        <w:t>4. Messenger</w:t>
      </w:r>
    </w:p>
    <w:p w14:paraId="78EF5B63" w14:textId="266A36FC" w:rsidR="00B97098" w:rsidRPr="00B97098" w:rsidRDefault="00B97098" w:rsidP="00B97098">
      <w:pPr>
        <w:numPr>
          <w:ilvl w:val="0"/>
          <w:numId w:val="4"/>
        </w:numPr>
      </w:pPr>
      <w:r>
        <w:rPr>
          <w:b/>
          <w:bCs/>
        </w:rPr>
        <w:t>Messenger &amp; Cloud-Dienste:</w:t>
      </w:r>
      <w:r>
        <w:t xml:space="preserve"> Private Messenger-Gruppen, die von Mitgliedern eigeninitiativ betrieben werden, dürfen nicht für die Verarbeitung von Mitgliedsdaten oder sensiblen Vereinsinformationen genutzt werden. Der Verein übernimmt keine Verantwortung für die Einhaltung der Datenschutzvorgaben in diesen Gruppen. Offizielle Vereinsinformationen sind ausschließlich über vereinsoffizielle Kanäle zu übermitteln (z. B. Vereins-E-Mail, passwortgeschützte Dokumente).</w:t>
      </w:r>
    </w:p>
    <w:p w14:paraId="1191CDCB" w14:textId="49E6D929" w:rsidR="00B97098" w:rsidRPr="00B97098" w:rsidRDefault="00B97098" w:rsidP="00B97098">
      <w:pPr>
        <w:numPr>
          <w:ilvl w:val="0"/>
          <w:numId w:val="4"/>
        </w:numPr>
      </w:pPr>
      <w:r>
        <w:rPr>
          <w:b/>
          <w:bCs/>
        </w:rPr>
        <w:t>Empfohlen:</w:t>
      </w:r>
      <w:r>
        <w:t xml:space="preserve"> vom Verein freigegebene Messenger-Dienste für interne Kommunikation Vorstand/Trainer</w:t>
      </w:r>
      <w:r w:rsidR="00EA6B7D">
        <w:t xml:space="preserve"> prüfen (bspw. Messenger-App Signal).</w:t>
      </w:r>
    </w:p>
    <w:p w14:paraId="21909CB8" w14:textId="77777777" w:rsidR="00B97098" w:rsidRPr="00B97098" w:rsidRDefault="00B97098" w:rsidP="00B97098">
      <w:pPr>
        <w:rPr>
          <w:b/>
          <w:bCs/>
        </w:rPr>
      </w:pPr>
      <w:r>
        <w:rPr>
          <w:b/>
          <w:bCs/>
        </w:rPr>
        <w:t>5. Umgang mit Fotos &amp; Videos</w:t>
      </w:r>
    </w:p>
    <w:p w14:paraId="43D90C9F" w14:textId="77777777" w:rsidR="00B97098" w:rsidRPr="00B97098" w:rsidRDefault="00B97098" w:rsidP="00B97098">
      <w:pPr>
        <w:numPr>
          <w:ilvl w:val="0"/>
          <w:numId w:val="5"/>
        </w:numPr>
      </w:pPr>
      <w:r>
        <w:rPr>
          <w:b/>
          <w:bCs/>
        </w:rPr>
        <w:t>Einwilligung prüfen</w:t>
      </w:r>
      <w:r>
        <w:t xml:space="preserve"> (Art. 6 Abs. 1 lit. a DSGVO) oder berechtigtes Interesse dokumentieren (Art. 6 Abs. 1 lit. f DSGVO).</w:t>
      </w:r>
    </w:p>
    <w:p w14:paraId="78C5F810" w14:textId="77777777" w:rsidR="00B97098" w:rsidRPr="00B97098" w:rsidRDefault="00B97098" w:rsidP="00B97098">
      <w:pPr>
        <w:numPr>
          <w:ilvl w:val="0"/>
          <w:numId w:val="5"/>
        </w:numPr>
      </w:pPr>
      <w:r>
        <w:t>Porträts/Einzelaufnahmen: bis auf Widerruf. Gruppenaufnahmen/Events: max. 10 Jahre aktive Nutzung (berechtigtes Interesse).</w:t>
      </w:r>
    </w:p>
    <w:p w14:paraId="5DCA88E1" w14:textId="77777777" w:rsidR="00B97098" w:rsidRPr="00B97098" w:rsidRDefault="00B97098" w:rsidP="00B97098">
      <w:pPr>
        <w:numPr>
          <w:ilvl w:val="0"/>
          <w:numId w:val="5"/>
        </w:numPr>
      </w:pPr>
      <w:r>
        <w:t>Dokumentation in Anlage J.</w:t>
      </w:r>
    </w:p>
    <w:p w14:paraId="3DF1FE60" w14:textId="77777777" w:rsidR="00B97098" w:rsidRPr="00B97098" w:rsidRDefault="00B97098" w:rsidP="00B97098">
      <w:pPr>
        <w:rPr>
          <w:b/>
          <w:bCs/>
        </w:rPr>
      </w:pPr>
      <w:r>
        <w:rPr>
          <w:b/>
          <w:bCs/>
        </w:rPr>
        <w:lastRenderedPageBreak/>
        <w:t>6. Betroffenenrechte</w:t>
      </w:r>
    </w:p>
    <w:p w14:paraId="07B86C2A" w14:textId="77777777" w:rsidR="00B97098" w:rsidRPr="00B97098" w:rsidRDefault="00B97098" w:rsidP="00B97098">
      <w:pPr>
        <w:numPr>
          <w:ilvl w:val="0"/>
          <w:numId w:val="6"/>
        </w:numPr>
      </w:pPr>
      <w:r>
        <w:t>Anfragen sofort protokollieren (Anlage G).</w:t>
      </w:r>
    </w:p>
    <w:p w14:paraId="491A3F14" w14:textId="77777777" w:rsidR="00B97098" w:rsidRPr="00B97098" w:rsidRDefault="00B97098" w:rsidP="00B97098">
      <w:pPr>
        <w:numPr>
          <w:ilvl w:val="0"/>
          <w:numId w:val="6"/>
        </w:numPr>
      </w:pPr>
      <w:r>
        <w:t>Frist: 1 Monat, ggf. Verlängerung um 2 Monate möglich.</w:t>
      </w:r>
    </w:p>
    <w:p w14:paraId="0EF2C879" w14:textId="77777777" w:rsidR="00B97098" w:rsidRPr="00B97098" w:rsidRDefault="00B97098" w:rsidP="00B97098">
      <w:pPr>
        <w:numPr>
          <w:ilvl w:val="0"/>
          <w:numId w:val="6"/>
        </w:numPr>
      </w:pPr>
      <w:r>
        <w:t>Auskunft, Berichtigung, Löschung und Widerspruch nach Art. 15–22 DSGVO prüfen.</w:t>
      </w:r>
    </w:p>
    <w:p w14:paraId="13017425" w14:textId="77777777" w:rsidR="00B97098" w:rsidRPr="00B97098" w:rsidRDefault="00B97098" w:rsidP="00B97098">
      <w:pPr>
        <w:rPr>
          <w:b/>
          <w:bCs/>
        </w:rPr>
      </w:pPr>
      <w:r>
        <w:rPr>
          <w:b/>
          <w:bCs/>
        </w:rPr>
        <w:t>7. Schulung &amp; Verpflichtung</w:t>
      </w:r>
    </w:p>
    <w:p w14:paraId="39D16D08" w14:textId="03EF2C95" w:rsidR="00B97098" w:rsidRPr="00B97098" w:rsidRDefault="00793C01" w:rsidP="00B97098">
      <w:pPr>
        <w:numPr>
          <w:ilvl w:val="0"/>
          <w:numId w:val="7"/>
        </w:numPr>
      </w:pPr>
      <w:r w:rsidRPr="00793C01">
        <w:t>Alle Funktionsträger:innen erhalten mindestens einmal jährlich eine Datenschutzschulung und unterschreiben die Datenschutzverpflichtung (Anlage H</w:t>
      </w:r>
      <w:r>
        <w:t xml:space="preserve"> bzw. </w:t>
      </w:r>
      <w:r w:rsidRPr="00793C01">
        <w:t>I).</w:t>
      </w:r>
    </w:p>
    <w:p w14:paraId="3250B196" w14:textId="77777777" w:rsidR="00B97098" w:rsidRDefault="00B97098" w:rsidP="00B97098">
      <w:pPr>
        <w:numPr>
          <w:ilvl w:val="0"/>
          <w:numId w:val="7"/>
        </w:numPr>
      </w:pPr>
      <w:r>
        <w:t>Sicherheitsmaßnahmen, Löschfristen und Protokolle einhalten.</w:t>
      </w:r>
    </w:p>
    <w:p w14:paraId="2186A736" w14:textId="69FD39D6" w:rsidR="00920096" w:rsidRPr="00B97098" w:rsidRDefault="00920096" w:rsidP="00B97098">
      <w:pPr>
        <w:numPr>
          <w:ilvl w:val="0"/>
          <w:numId w:val="7"/>
        </w:numPr>
      </w:pPr>
      <w:r>
        <w:t xml:space="preserve">Und </w:t>
      </w:r>
      <w:r w:rsidRPr="00920096">
        <w:t>erhalten mindestens einmal jährlich eine Datenschutzschulung und unterschreiben die Datenschutzverpflichtung (Anlage H/I).</w:t>
      </w:r>
    </w:p>
    <w:p w14:paraId="2CFE7CB1" w14:textId="77777777" w:rsidR="00B97098" w:rsidRDefault="00B97098" w:rsidP="00B97098"/>
    <w:p w14:paraId="09E473CA" w14:textId="3368676D" w:rsidR="00B97098" w:rsidRPr="007D562D" w:rsidRDefault="007D562D" w:rsidP="00B97098">
      <w:pPr>
        <w:rPr>
          <w:b/>
          <w:bCs/>
        </w:rPr>
      </w:pPr>
      <w:r>
        <w:rPr>
          <w:b/>
          <w:bCs/>
        </w:rPr>
        <w:t>8. Datenpanne (Art. 33/34 DSGVO)</w:t>
      </w:r>
    </w:p>
    <w:p w14:paraId="11B1398C" w14:textId="77777777" w:rsidR="007D562D" w:rsidRDefault="007D562D" w:rsidP="00B97098"/>
    <w:p w14:paraId="0B7B2CB5" w14:textId="0BFB456D" w:rsidR="007D562D" w:rsidRPr="007D562D" w:rsidRDefault="007D562D" w:rsidP="007D562D">
      <w:pPr>
        <w:numPr>
          <w:ilvl w:val="0"/>
          <w:numId w:val="7"/>
        </w:numPr>
      </w:pPr>
      <w:r>
        <w:t>Bei Verlust, Diebstahl oder unbefugtem Zugriff auf Daten: Sofort den Vorstand und den Datenschutz-Ansprechpartner informieren. Meldung an das ULD Schleswig-Holstein (www.datenschutzzentrum.de) ggf. innerhalb von 72 Stunden — Frist ist kritisch!</w:t>
      </w:r>
    </w:p>
    <w:sectPr w:rsidR="007D562D" w:rsidRPr="007D562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AB25" w14:textId="77777777" w:rsidR="00A03E2B" w:rsidRDefault="00A03E2B" w:rsidP="00EA6B7D">
      <w:pPr>
        <w:spacing w:after="0" w:line="240" w:lineRule="auto"/>
      </w:pPr>
      <w:r>
        <w:separator/>
      </w:r>
    </w:p>
  </w:endnote>
  <w:endnote w:type="continuationSeparator" w:id="0">
    <w:p w14:paraId="03809A62" w14:textId="77777777" w:rsidR="00A03E2B" w:rsidRDefault="00A03E2B" w:rsidP="00EA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133161"/>
      <w:docPartObj>
        <w:docPartGallery w:val="Page Numbers (Bottom of Page)"/>
        <w:docPartUnique/>
      </w:docPartObj>
    </w:sdtPr>
    <w:sdtContent>
      <w:p w14:paraId="39DA005B" w14:textId="1D615D17" w:rsidR="00C5749E" w:rsidRDefault="00C5749E">
        <w:pPr>
          <w:pStyle w:val="Fuzeile"/>
          <w:jc w:val="right"/>
        </w:pPr>
        <w:r>
          <w:fldChar w:fldCharType="begin"/>
        </w:r>
        <w:r>
          <w:instrText>PAGE   \* MERGEFORMAT</w:instrText>
        </w:r>
        <w:r>
          <w:fldChar w:fldCharType="separate"/>
        </w:r>
        <w:r>
          <w:t>2</w:t>
        </w:r>
        <w:r>
          <w:fldChar w:fldCharType="end"/>
        </w:r>
      </w:p>
    </w:sdtContent>
  </w:sdt>
  <w:p w14:paraId="544A5EEB" w14:textId="77777777" w:rsidR="00C5749E" w:rsidRDefault="00C574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0BA4" w14:textId="77777777" w:rsidR="00A03E2B" w:rsidRDefault="00A03E2B" w:rsidP="00EA6B7D">
      <w:pPr>
        <w:spacing w:after="0" w:line="240" w:lineRule="auto"/>
      </w:pPr>
      <w:r>
        <w:separator/>
      </w:r>
    </w:p>
  </w:footnote>
  <w:footnote w:type="continuationSeparator" w:id="0">
    <w:p w14:paraId="6B62D954" w14:textId="77777777" w:rsidR="00A03E2B" w:rsidRDefault="00A03E2B" w:rsidP="00EA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FD94" w14:textId="77777777" w:rsidR="00EA6B7D" w:rsidRPr="007328B0" w:rsidRDefault="00EA6B7D" w:rsidP="00EA6B7D">
    <w:pPr>
      <w:pBdr>
        <w:bottom w:val="single" w:sz="12" w:space="1" w:color="auto"/>
      </w:pBdr>
      <w:jc w:val="center"/>
      <w:rPr>
        <w:rFonts w:ascii="Bookman Old Style" w:hAnsi="Bookman Old Style" w:cs="Arial"/>
        <w:b/>
        <w:sz w:val="32"/>
        <w:szCs w:val="32"/>
      </w:rPr>
    </w:pPr>
    <w:r w:rsidRPr="007328B0">
      <w:rPr>
        <w:rFonts w:ascii="Bookman Old Style" w:hAnsi="Bookman Old Style" w:cs="Arial"/>
        <w:b/>
        <w:sz w:val="32"/>
        <w:szCs w:val="32"/>
      </w:rPr>
      <w:t xml:space="preserve">CAPOEIRA FLENSBURG </w:t>
    </w:r>
    <w:r>
      <w:rPr>
        <w:rFonts w:ascii="Bookman Old Style" w:hAnsi="Bookman Old Style" w:cs="Arial"/>
        <w:b/>
        <w:sz w:val="32"/>
        <w:szCs w:val="32"/>
      </w:rPr>
      <w:t>e</w:t>
    </w:r>
    <w:r w:rsidRPr="007328B0">
      <w:rPr>
        <w:rFonts w:ascii="Bookman Old Style" w:hAnsi="Bookman Old Style" w:cs="Arial"/>
        <w:b/>
        <w:sz w:val="32"/>
        <w:szCs w:val="32"/>
      </w:rPr>
      <w:t>.V.</w:t>
    </w:r>
  </w:p>
  <w:p w14:paraId="6232CE10" w14:textId="5FDE701A" w:rsidR="00EA6B7D" w:rsidRDefault="00EA6B7D" w:rsidP="00EA6B7D">
    <w:pPr>
      <w:pStyle w:val="Kopfzeile"/>
      <w:jc w:val="center"/>
    </w:pPr>
    <w:r>
      <w:rPr>
        <w:rFonts w:ascii="Bookman Old Style" w:hAnsi="Bookman Old Style" w:cs="Arial"/>
        <w:b/>
        <w:sz w:val="32"/>
        <w:szCs w:val="32"/>
      </w:rPr>
      <w:t xml:space="preserve">Datenschutzkonzept – </w:t>
    </w:r>
    <w:r>
      <w:rPr>
        <w:rFonts w:ascii="Bookman Old Style" w:hAnsi="Bookman Old Style" w:cs="Arial"/>
        <w:b/>
        <w:sz w:val="32"/>
        <w:szCs w:val="32"/>
      </w:rPr>
      <w:t>„Spickzettel“</w:t>
    </w:r>
  </w:p>
  <w:p w14:paraId="11B1C396" w14:textId="77777777" w:rsidR="00EA6B7D" w:rsidRDefault="00EA6B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6E8E"/>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E26A3"/>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5088A"/>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D3FCE"/>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15738"/>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608E1"/>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36FB9"/>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35CA5"/>
    <w:multiLevelType w:val="multilevel"/>
    <w:tmpl w:val="C02C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362023">
    <w:abstractNumId w:val="3"/>
  </w:num>
  <w:num w:numId="2" w16cid:durableId="1171407800">
    <w:abstractNumId w:val="2"/>
  </w:num>
  <w:num w:numId="3" w16cid:durableId="1540162823">
    <w:abstractNumId w:val="5"/>
  </w:num>
  <w:num w:numId="4" w16cid:durableId="229118600">
    <w:abstractNumId w:val="0"/>
  </w:num>
  <w:num w:numId="5" w16cid:durableId="1892109661">
    <w:abstractNumId w:val="1"/>
  </w:num>
  <w:num w:numId="6" w16cid:durableId="1466893459">
    <w:abstractNumId w:val="6"/>
  </w:num>
  <w:num w:numId="7" w16cid:durableId="983240438">
    <w:abstractNumId w:val="4"/>
  </w:num>
  <w:num w:numId="8" w16cid:durableId="1128859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FF"/>
    <w:rsid w:val="0009631D"/>
    <w:rsid w:val="00475D7A"/>
    <w:rsid w:val="004D6385"/>
    <w:rsid w:val="005458E1"/>
    <w:rsid w:val="0071715E"/>
    <w:rsid w:val="007254EA"/>
    <w:rsid w:val="00793C01"/>
    <w:rsid w:val="007D562D"/>
    <w:rsid w:val="00920096"/>
    <w:rsid w:val="00A03E2B"/>
    <w:rsid w:val="00A345FF"/>
    <w:rsid w:val="00B97098"/>
    <w:rsid w:val="00BB1742"/>
    <w:rsid w:val="00C002D3"/>
    <w:rsid w:val="00C5749E"/>
    <w:rsid w:val="00D14483"/>
    <w:rsid w:val="00EA6B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40AE"/>
  <w15:chartTrackingRefBased/>
  <w15:docId w15:val="{A4B0643D-81F0-4B63-B5D0-3E83EF5E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4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34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345F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345F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345F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345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45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45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45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45F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345F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345F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345F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345F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345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45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45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45FF"/>
    <w:rPr>
      <w:rFonts w:eastAsiaTheme="majorEastAsia" w:cstheme="majorBidi"/>
      <w:color w:val="272727" w:themeColor="text1" w:themeTint="D8"/>
    </w:rPr>
  </w:style>
  <w:style w:type="paragraph" w:styleId="Titel">
    <w:name w:val="Title"/>
    <w:basedOn w:val="Standard"/>
    <w:next w:val="Standard"/>
    <w:link w:val="TitelZchn"/>
    <w:uiPriority w:val="10"/>
    <w:qFormat/>
    <w:rsid w:val="00A34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5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45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45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45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45FF"/>
    <w:rPr>
      <w:i/>
      <w:iCs/>
      <w:color w:val="404040" w:themeColor="text1" w:themeTint="BF"/>
    </w:rPr>
  </w:style>
  <w:style w:type="paragraph" w:styleId="Listenabsatz">
    <w:name w:val="List Paragraph"/>
    <w:basedOn w:val="Standard"/>
    <w:uiPriority w:val="34"/>
    <w:qFormat/>
    <w:rsid w:val="00A345FF"/>
    <w:pPr>
      <w:ind w:left="720"/>
      <w:contextualSpacing/>
    </w:pPr>
  </w:style>
  <w:style w:type="character" w:styleId="IntensiveHervorhebung">
    <w:name w:val="Intense Emphasis"/>
    <w:basedOn w:val="Absatz-Standardschriftart"/>
    <w:uiPriority w:val="21"/>
    <w:qFormat/>
    <w:rsid w:val="00A345FF"/>
    <w:rPr>
      <w:i/>
      <w:iCs/>
      <w:color w:val="2F5496" w:themeColor="accent1" w:themeShade="BF"/>
    </w:rPr>
  </w:style>
  <w:style w:type="paragraph" w:styleId="IntensivesZitat">
    <w:name w:val="Intense Quote"/>
    <w:basedOn w:val="Standard"/>
    <w:next w:val="Standard"/>
    <w:link w:val="IntensivesZitatZchn"/>
    <w:uiPriority w:val="30"/>
    <w:qFormat/>
    <w:rsid w:val="00A34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345FF"/>
    <w:rPr>
      <w:i/>
      <w:iCs/>
      <w:color w:val="2F5496" w:themeColor="accent1" w:themeShade="BF"/>
    </w:rPr>
  </w:style>
  <w:style w:type="character" w:styleId="IntensiverVerweis">
    <w:name w:val="Intense Reference"/>
    <w:basedOn w:val="Absatz-Standardschriftart"/>
    <w:uiPriority w:val="32"/>
    <w:qFormat/>
    <w:rsid w:val="00A345FF"/>
    <w:rPr>
      <w:b/>
      <w:bCs/>
      <w:smallCaps/>
      <w:color w:val="2F5496" w:themeColor="accent1" w:themeShade="BF"/>
      <w:spacing w:val="5"/>
    </w:rPr>
  </w:style>
  <w:style w:type="paragraph" w:styleId="StandardWeb">
    <w:name w:val="Normal (Web)"/>
    <w:basedOn w:val="Standard"/>
    <w:uiPriority w:val="99"/>
    <w:semiHidden/>
    <w:unhideWhenUsed/>
    <w:rsid w:val="00BB174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button-container">
    <w:name w:val="button-container"/>
    <w:basedOn w:val="Absatz-Standardschriftart"/>
    <w:rsid w:val="00BB1742"/>
  </w:style>
  <w:style w:type="paragraph" w:styleId="Kopfzeile">
    <w:name w:val="header"/>
    <w:basedOn w:val="Standard"/>
    <w:link w:val="KopfzeileZchn"/>
    <w:uiPriority w:val="99"/>
    <w:unhideWhenUsed/>
    <w:rsid w:val="00EA6B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6B7D"/>
  </w:style>
  <w:style w:type="paragraph" w:styleId="Fuzeile">
    <w:name w:val="footer"/>
    <w:basedOn w:val="Standard"/>
    <w:link w:val="FuzeileZchn"/>
    <w:uiPriority w:val="99"/>
    <w:unhideWhenUsed/>
    <w:rsid w:val="00EA6B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Marinheiro Brockhoefer</cp:lastModifiedBy>
  <cp:revision>4</cp:revision>
  <dcterms:created xsi:type="dcterms:W3CDTF">2026-04-16T04:15:00Z</dcterms:created>
  <dcterms:modified xsi:type="dcterms:W3CDTF">2026-04-16T04:18:00Z</dcterms:modified>
</cp:coreProperties>
</file>